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Problem Question: Advise Sarah on Her Potential Claim in Negligence</w:t>
      </w:r>
    </w:p>
    <w:p>
      <w:r>
        <w:t>This essay advises Sarah on whether she has a viable claim in negligence against the local council following her injury on a poorly maintained pavement. The analysis will apply the established three-stage test from Caparo Industries plc v Dickman [1990] to determine whether a duty of care existed, whether that duty was breached, and whether the breach caused actionable damage. It will be argued that Sarah likely has a strong claim, subject to potential defences.</w:t>
      </w:r>
      <w:r>
        <w:rPr>
          <w:i/>
          <w:color w:val="646464"/>
          <w:sz w:val="20"/>
        </w:rPr>
        <w:br/>
        <w:t>[TIP: Law essays need precision: identify the parties, the legal issue, and your conclusion upfront. Always cite relevant cases or statutes. Use formal legal language throughout.]</w:t>
      </w:r>
    </w:p>
    <w:p>
      <w:pPr>
        <w:pStyle w:val="Heading1"/>
      </w:pPr>
      <w:r>
        <w:t>Issue</w:t>
      </w:r>
    </w:p>
    <w:p>
      <w:r>
        <w:t>The primary legal issue is whether the local council owed Sarah a duty of care in relation to pavement maintenance, and if so, whether they breached that duty, thereby causing her injuries.</w:t>
      </w:r>
      <w:r>
        <w:rPr>
          <w:i/>
          <w:color w:val="646464"/>
          <w:sz w:val="20"/>
        </w:rPr>
        <w:br/>
        <w:t>[TIP: Issue: Frame the legal question clearly. Identify the area of law (e.g., negligence, contract, criminal law) and the specific question to be resolved.]</w:t>
      </w:r>
    </w:p>
    <w:p>
      <w:pPr>
        <w:pStyle w:val="Heading1"/>
      </w:pPr>
      <w:r>
        <w:t>Rule</w:t>
      </w:r>
    </w:p>
    <w:p>
      <w:r>
        <w:t xml:space="preserve">In negligence, a claimant must establish three elements: (1) the defendant owed a duty of care, (2) the defendant breached that duty, and (3) the breach caused foreseeable harm (Donoghue v Stevenson [1932]). </w:t>
        <w:br/>
        <w:br/>
        <w:t>Duty of care is established using the Caparo test: (a) harm must be reasonably foreseeable, (b) there must be sufficient proximity between parties, and (c) it must be fair, just and reasonable to impose a duty (Caparo Industries plc v Dickman [1990]).</w:t>
        <w:br/>
        <w:br/>
        <w:t>Breach is determined by asking whether the defendant fell below the standard of a reasonable person in their position (Blyth v Birmingham Waterworks [1856]).</w:t>
      </w:r>
      <w:r>
        <w:rPr>
          <w:i/>
          <w:color w:val="646464"/>
          <w:sz w:val="20"/>
        </w:rPr>
        <w:br/>
        <w:t>[TIP: Rule: State the relevant legal principles, citing key authorities. Use proper case citations: Case Name [Year]. For statutes: Act Name Year, section number.]</w:t>
      </w:r>
    </w:p>
    <w:p>
      <w:pPr>
        <w:pStyle w:val="Heading1"/>
      </w:pPr>
      <w:r>
        <w:t>Application</w:t>
      </w:r>
    </w:p>
    <w:p>
      <w:r>
        <w:t>Applying the Caparo test to Sarah's situation:</w:t>
        <w:br/>
        <w:br/>
        <w:t>1. Foreseeability: It is clearly foreseeable that poorly maintained pavements could cause pedestrian injuries. In Sandhar v Department of Transport [2004], the court held that highway authorities can foresee tripping hazards.</w:t>
        <w:br/>
        <w:br/>
        <w:t>2. Proximity: The council is the statutory highway authority with responsibility for maintaining public pavements. This creates a sufficiently proximate relationship with pedestrians like Sarah (Highways Act 1980, s.41).</w:t>
        <w:br/>
        <w:br/>
        <w:t>3. Fair, just and reasonable: Courts have consistently held that it is appropriate to impose duties on local authorities for highway maintenance (Gorringe v Calderdale MBC [2004]).</w:t>
        <w:br/>
        <w:br/>
        <w:t>Regarding breach: If the pavement defect existed for several weeks (as alleged), this may fall below the standard of reasonable care. In Mills v Barnsley MBC [1992], a two-month delay in repairing a defect was held to constitute a breach. However, councils may have a defence under s.58 Highways Act if they can show a reasonable system of inspection and maintenance.</w:t>
      </w:r>
      <w:r>
        <w:rPr>
          <w:i/>
          <w:color w:val="646464"/>
          <w:sz w:val="20"/>
        </w:rPr>
        <w:br/>
        <w:t>[TIP: Application: This is the heart of your answer. Apply each element of the legal test to the specific facts. Use analogical reasoning: compare your facts to precedent cases. Be specific—don't just say 'the law applies'; show how and why.]</w:t>
      </w:r>
    </w:p>
    <w:p>
      <w:pPr>
        <w:pStyle w:val="Heading1"/>
      </w:pPr>
      <w:r>
        <w:t>Conclusion</w:t>
      </w:r>
    </w:p>
    <w:p>
      <w:r>
        <w:t>Sarah likely has a strong prima facie case in negligence. The council owed her a duty of care as highway authority, and the prolonged failure to repair the defect arguably constitutes a breach. However, the success of her claim may depend on whether the council can establish a s.58 defence by demonstrating a reasonable inspection system. Sarah should be advised to gather evidence of the defect's duration and the council's inspection records.</w:t>
      </w:r>
      <w:r>
        <w:rPr>
          <w:i/>
          <w:color w:val="646464"/>
          <w:sz w:val="20"/>
        </w:rPr>
        <w:br/>
        <w:t>[TIP: Conclusion: Summarise your legal analysis and give practical advice. Don't introduce new points here. In problem questions, always conclude with concrete guidance for your client.]</w:t>
      </w:r>
    </w:p>
    <w:p>
      <w:r>
        <w:br w:type="page"/>
      </w:r>
    </w:p>
    <w:p>
      <w:pPr>
        <w:pStyle w:val="Heading1"/>
      </w:pPr>
      <w:r>
        <w:t>Bibliography</w:t>
      </w:r>
    </w:p>
    <w:p>
      <w:r>
        <w:t>Cases:</w:t>
        <w:br/>
        <w:t>Blyth v Birmingham Waterworks (1856) 11 Exch 781</w:t>
        <w:br/>
        <w:t>Caparo Industries plc v Dickman [1990] 2 AC 605</w:t>
        <w:br/>
        <w:t>Donoghue v Stevenson [1932] AC 562</w:t>
        <w:br/>
        <w:t>Gorringe v Calderdale MBC [2004] UKHL 15</w:t>
        <w:br/>
        <w:br/>
        <w:t>Statutes:</w:t>
        <w:br/>
        <w:t>Highways Act 1980</w:t>
        <w:br/>
        <w:br/>
        <w:t>[Add secondary sources: textbooks, journal articles, etc.]</w:t>
      </w:r>
      <w:r>
        <w:rPr>
          <w:i/>
          <w:color w:val="646464"/>
          <w:sz w:val="20"/>
        </w:rPr>
        <w:br/>
        <w:t>[TIP: Legal referencing: List cases separately from statutes and secondary sources. Use proper neutral citations for modern cases (e.g., [2004] UKHL 15). Check your law school's style guide—OSCOLA is most common in UK universities.]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69696"/>
        <w:sz w:val="18"/>
      </w:rPr>
      <w:t>Template by PaperYak.com — Free essay resources for students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